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Росреестр Алтайского края проведет «День открытых дверей»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предпринимателей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25 мая с 14.00 до 16.00 часов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эксперты Кадастровой палаты и Управления Росреестра по Алтайскому краю  проведут «День открытых дверей» для предпринимателей и представителей юридических лиц. Мероприятие состоится во всех городах края: Алейске, Барнауле, Бийске, Заринске, Камне-на-Оби, Новоалтайске, Рубцовске, Славгороде.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«Проведение очных мероприятий позволяет предпринимателям получать подробные консультации по конкретным пакетам документов или отдельным вопросам, связанным с учетом недвижимости. Такой подход способствует снижению количества приостановлений кадастрового учета и государственной регистрации прав, повышает уровень доверия предпринимателей к деятельности органов Росреестра»</w:t>
      </w:r>
      <w:r>
        <w:rPr>
          <w:rFonts w:cs="Times New Roman" w:ascii="Times New Roman" w:hAnsi="Times New Roman"/>
          <w:sz w:val="28"/>
          <w:szCs w:val="28"/>
        </w:rPr>
        <w:t xml:space="preserve">, - сообщил </w:t>
      </w:r>
      <w:r>
        <w:rPr>
          <w:rFonts w:cs="Times New Roman" w:ascii="Times New Roman" w:hAnsi="Times New Roman"/>
          <w:b/>
          <w:bCs/>
          <w:sz w:val="28"/>
          <w:szCs w:val="28"/>
        </w:rPr>
        <w:t>руководитель Управления Росреестра по Алтайскому краю Юрий Калашников.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мероприятия индивидуальные предприниматели и юридические лица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 и др. Мероприятие будет проходить 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«Школа электронных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«В рамках мероприятий, проводимых Кадастровой палатой по Алтайскому краю, предприниматели узнают обо всех услугах, предоставляемых Росреестром, учатся понимать информацию, содержащуюся в выписках из ЕГРН, узнают, на какие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моменты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необхо</w:t>
      </w:r>
      <w:r>
        <w:rPr>
          <w:rFonts w:cs="Times New Roman" w:ascii="Times New Roman" w:hAnsi="Times New Roman"/>
          <w:i/>
          <w:iCs/>
          <w:sz w:val="28"/>
          <w:szCs w:val="28"/>
        </w:rPr>
        <w:t>димо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обращать внимание при проверке недвижимости на предмет юридической чистоты и т. д. Деятельность «Школы электронных услуг» позволят участникам мероприятия понять все тонкости получения услуг в электронном виде и научиться пользоваться сервисами»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отметил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директор Кадастровой палаты по Алтайскому краю Дмитрий Комиссаров.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hyperlink r:id="rId3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>
          <w:rStyle w:val="Style14"/>
          <w:rFonts w:eastAsia="Calibri"/>
        </w:rPr>
      </w:pPr>
      <w:hyperlink r:id="rId4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2</Pages>
  <Words>487</Words>
  <Characters>3592</Characters>
  <CharactersWithSpaces>4063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2022-05-23T12:52:08Z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