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СОБРАНИЕ ДЕПУТАТОВ НОВОЗОРИНСКОГО СЕЛЬСОВЕТА ПАВЛОВСКОГО РАЙОНА АЛТАЙСКОГО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27.06.2024                                                                                                    №15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п. Новые Зори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прогнозного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плана приватизации муниципального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имущества муниципального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образования Новозоринский сельсовет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Source Han Sans CN Regular"/>
          <w:kern w:val="2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Новозоринский сельсовет Павловского района Алтайского края </w:t>
      </w:r>
      <w:r>
        <w:rPr>
          <w:sz w:val="28"/>
          <w:szCs w:val="28"/>
        </w:rPr>
        <w:t>Собрание депутатов р е ш а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прогнозный план приватизации муниципального имущества муниципального образования Новозоринский сельсовет Павловского района Алтайского края (Приложение 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Е.В.Варламова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eastAsia="Source Han Sans CN Regular"/>
          <w:kern w:val="2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1 </w:t>
      </w:r>
    </w:p>
    <w:p>
      <w:pPr>
        <w:pStyle w:val="Normal"/>
        <w:widowControl w:val="false"/>
        <w:suppressAutoHyphens w:val="true"/>
        <w:jc w:val="right"/>
        <w:textAlignment w:val="baseline"/>
        <w:rPr>
          <w:rFonts w:eastAsia="Source Han Sans CN Regular"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Cs/>
          <w:kern w:val="2"/>
          <w:sz w:val="28"/>
          <w:szCs w:val="28"/>
        </w:rPr>
        <w:t xml:space="preserve">к </w:t>
      </w:r>
      <w:r>
        <w:rPr>
          <w:rFonts w:eastAsia="Source Han Sans CN Regular"/>
          <w:kern w:val="2"/>
          <w:sz w:val="28"/>
          <w:szCs w:val="28"/>
        </w:rPr>
        <w:t>Решению Собрания депутатов</w:t>
      </w:r>
    </w:p>
    <w:p>
      <w:pPr>
        <w:pStyle w:val="Normal"/>
        <w:widowControl w:val="false"/>
        <w:suppressAutoHyphens w:val="true"/>
        <w:jc w:val="right"/>
        <w:textAlignment w:val="baseline"/>
        <w:rPr>
          <w:rFonts w:eastAsia="Source Han Sans CN Regular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eastAsia="Source Han Sans CN Regular"/>
          <w:kern w:val="2"/>
          <w:sz w:val="28"/>
          <w:szCs w:val="28"/>
        </w:rPr>
        <w:t>Новозоринского       сельсовета</w:t>
      </w:r>
    </w:p>
    <w:p>
      <w:pPr>
        <w:pStyle w:val="Normal"/>
        <w:widowControl w:val="false"/>
        <w:suppressAutoHyphens w:val="true"/>
        <w:jc w:val="right"/>
        <w:textAlignment w:val="baseline"/>
        <w:rPr>
          <w:rFonts w:eastAsia="Source Han Sans CN Regular"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                                                                 </w:t>
      </w:r>
      <w:r>
        <w:rPr>
          <w:kern w:val="2"/>
          <w:sz w:val="28"/>
          <w:szCs w:val="28"/>
        </w:rPr>
        <w:t xml:space="preserve">     </w:t>
      </w:r>
      <w:r>
        <w:rPr>
          <w:rFonts w:eastAsia="Source Han Sans CN Regular"/>
          <w:kern w:val="2"/>
          <w:sz w:val="28"/>
          <w:szCs w:val="28"/>
        </w:rPr>
        <w:t>От 27.06.2024 года №15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  <w:t>П Р О Г Н О З Н Ы Й           П Л А Н  (программа)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  <w:t>приватизации муниципального имущества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  <w:t>Новозоринский сельсовет Павловского района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  <w:t>Алтайского края на 2024 год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</w:r>
    </w:p>
    <w:tbl>
      <w:tblPr>
        <w:tblW w:w="9647" w:type="dxa"/>
        <w:jc w:val="lef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375"/>
        <w:gridCol w:w="2834"/>
        <w:gridCol w:w="2174"/>
        <w:gridCol w:w="1514"/>
        <w:gridCol w:w="1352"/>
        <w:gridCol w:w="1397"/>
      </w:tblGrid>
      <w:tr>
        <w:trPr/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п/п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объекта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Характеристика объекта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Начальная</w:t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продажная</w:t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цена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Срок реализации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Способ реализации</w:t>
            </w:r>
          </w:p>
        </w:tc>
      </w:tr>
      <w:tr>
        <w:trPr/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jc w:val="both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 xml:space="preserve">Часть нежилого помещения, п. Новые Зори ул. Комсомольская, 1  пом. </w:t>
            </w:r>
            <w:r>
              <w:rPr>
                <w:rFonts w:eastAsia="Source Han Sans CN Regular"/>
                <w:kern w:val="2"/>
                <w:sz w:val="28"/>
                <w:szCs w:val="28"/>
                <w:lang w:val="en-US"/>
              </w:rPr>
              <w:t>8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 xml:space="preserve">Площадь </w:t>
            </w:r>
            <w:r>
              <w:rPr>
                <w:rFonts w:eastAsia="Source Han Sans CN Regular"/>
                <w:kern w:val="2"/>
                <w:sz w:val="28"/>
                <w:szCs w:val="28"/>
                <w:lang w:val="en-US"/>
              </w:rPr>
              <w:t>383,7</w:t>
            </w:r>
            <w:r>
              <w:rPr>
                <w:rFonts w:eastAsia="Source Han Sans CN Regular"/>
                <w:kern w:val="2"/>
                <w:sz w:val="28"/>
                <w:szCs w:val="28"/>
              </w:rPr>
              <w:t xml:space="preserve"> кв.м.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согласно независимой оценке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  <w:lang w:val="en-US"/>
              </w:rPr>
              <w:t xml:space="preserve">III </w:t>
            </w:r>
            <w:r>
              <w:rPr>
                <w:rFonts w:eastAsia="Source Han Sans CN Regular"/>
                <w:kern w:val="2"/>
                <w:sz w:val="28"/>
                <w:szCs w:val="28"/>
              </w:rPr>
              <w:t>квартал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Продажа на аукционе</w:t>
            </w:r>
          </w:p>
        </w:tc>
      </w:tr>
      <w:tr>
        <w:trPr/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jc w:val="both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 xml:space="preserve">Часть нежилого помещения, п. Новые Зори ул. Комсомольская, 1  пом. </w:t>
            </w:r>
            <w:r>
              <w:rPr>
                <w:rFonts w:eastAsia="Source Han Sans CN Regular"/>
                <w:kern w:val="2"/>
                <w:sz w:val="28"/>
                <w:szCs w:val="28"/>
                <w:lang w:val="en-US"/>
              </w:rPr>
              <w:t>9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 xml:space="preserve">Площадь </w:t>
            </w:r>
            <w:r>
              <w:rPr>
                <w:rFonts w:eastAsia="Source Han Sans CN Regular"/>
                <w:kern w:val="2"/>
                <w:sz w:val="28"/>
                <w:szCs w:val="28"/>
                <w:lang w:val="en-US"/>
              </w:rPr>
              <w:t>628,9</w:t>
            </w:r>
            <w:r>
              <w:rPr>
                <w:rFonts w:eastAsia="Source Han Sans CN Regular"/>
                <w:kern w:val="2"/>
                <w:sz w:val="28"/>
                <w:szCs w:val="28"/>
              </w:rPr>
              <w:t xml:space="preserve"> кв.м.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согласно независимой оценке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  <w:lang w:val="en-US"/>
              </w:rPr>
              <w:t xml:space="preserve">V </w:t>
            </w:r>
            <w:r>
              <w:rPr>
                <w:rFonts w:eastAsia="Source Han Sans CN Regular"/>
                <w:kern w:val="2"/>
                <w:sz w:val="28"/>
                <w:szCs w:val="28"/>
              </w:rPr>
              <w:t>квартал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eastAsia="Source Han Sans CN Regular"/>
                <w:kern w:val="2"/>
                <w:sz w:val="28"/>
                <w:szCs w:val="28"/>
              </w:rPr>
            </w:pPr>
            <w:r>
              <w:rPr>
                <w:rFonts w:eastAsia="Source Han Sans CN Regular"/>
                <w:kern w:val="2"/>
                <w:sz w:val="28"/>
                <w:szCs w:val="28"/>
              </w:rPr>
              <w:t>Продажа на аукционе</w:t>
            </w:r>
          </w:p>
        </w:tc>
      </w:tr>
    </w:tbl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ource Han Sans CN Regular"/>
          <w:b/>
          <w:b/>
          <w:bCs/>
          <w:kern w:val="2"/>
          <w:sz w:val="28"/>
          <w:szCs w:val="28"/>
        </w:rPr>
      </w:pPr>
      <w:r>
        <w:rPr>
          <w:rFonts w:eastAsia="Source Han Sans CN Regular"/>
          <w:b/>
          <w:bCs/>
          <w:kern w:val="2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80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e04b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20fd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e04b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LibreOffice/7.2.7.2$Linux_X86_64 LibreOffice_project/20$Build-2</Application>
  <AppVersion>15.0000</AppVersion>
  <Pages>3</Pages>
  <Words>186</Words>
  <Characters>1250</Characters>
  <CharactersWithSpaces>1946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2021-02-05T02:44:00Z</dcterms:created>
  <dc:creator>Пользователь</dc:creator>
  <dc:description/>
  <dc:language>ru-RU</dc:language>
  <cp:lastModifiedBy>Пользователь</cp:lastModifiedBy>
  <cp:lastPrinted>2024-07-02T06:41:00Z</cp:lastPrinted>
  <dcterms:modified xsi:type="dcterms:W3CDTF">2024-07-02T06:41:00Z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