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3"/>
        <w:shd w:val="clear" w:color="auto" w:fill="FFFFFF"/>
        <w:spacing w:beforeAutospacing="0" w:before="0" w:afterAutospacing="0" w:after="225"/>
        <w:rPr>
          <w:rFonts w:ascii="Georgia" w:hAnsi="Georgia"/>
          <w:b w:val="false"/>
          <w:b w:val="false"/>
          <w:bCs w:val="false"/>
          <w:color w:val="333333"/>
          <w:sz w:val="24"/>
          <w:szCs w:val="24"/>
        </w:rPr>
      </w:pPr>
      <w:r>
        <w:rPr>
          <w:rFonts w:ascii="Georgia" w:hAnsi="Georgia"/>
          <w:b w:val="false"/>
          <w:bCs w:val="false"/>
          <w:color w:val="333333"/>
          <w:sz w:val="24"/>
          <w:szCs w:val="24"/>
        </w:rPr>
        <w:t>Отчёт</w:t>
      </w:r>
    </w:p>
    <w:p>
      <w:pPr>
        <w:pStyle w:val="Normal"/>
        <w:jc w:val="right"/>
        <w:rPr>
          <w:rFonts w:ascii="Arial" w:hAnsi="Arial" w:cs="Arial"/>
          <w:color w:val="242424"/>
          <w:sz w:val="20"/>
          <w:szCs w:val="20"/>
        </w:rPr>
      </w:pPr>
      <w:r>
        <w:rPr>
          <w:color w:val="242424"/>
        </w:rPr>
        <w:t>Утвержден</w:t>
      </w:r>
    </w:p>
    <w:p>
      <w:pPr>
        <w:pStyle w:val="Normal"/>
        <w:jc w:val="right"/>
        <w:rPr>
          <w:rFonts w:ascii="Arial" w:hAnsi="Arial" w:cs="Arial"/>
          <w:color w:val="242424"/>
          <w:sz w:val="20"/>
          <w:szCs w:val="20"/>
        </w:rPr>
      </w:pPr>
      <w:r>
        <w:rPr>
          <w:color w:val="242424"/>
        </w:rPr>
        <w:t>решением Совета города Лермонтова</w:t>
      </w:r>
    </w:p>
    <w:p>
      <w:pPr>
        <w:pStyle w:val="Normal"/>
        <w:jc w:val="right"/>
        <w:rPr>
          <w:rFonts w:ascii="Arial" w:hAnsi="Arial" w:cs="Arial"/>
          <w:color w:val="242424"/>
          <w:sz w:val="20"/>
          <w:szCs w:val="20"/>
        </w:rPr>
      </w:pPr>
      <w:r>
        <w:rPr>
          <w:color w:val="242424"/>
        </w:rPr>
        <w:t>от___________ 2023 года № ___</w:t>
      </w:r>
    </w:p>
    <w:p>
      <w:pPr>
        <w:pStyle w:val="Normal"/>
        <w:jc w:val="center"/>
        <w:rPr>
          <w:rFonts w:ascii="Arial" w:hAnsi="Arial" w:cs="Arial"/>
          <w:color w:val="242424"/>
          <w:sz w:val="20"/>
          <w:szCs w:val="20"/>
        </w:rPr>
      </w:pPr>
      <w:r>
        <w:rPr>
          <w:b/>
          <w:bCs/>
          <w:color w:val="242424"/>
        </w:rPr>
        <w:t> </w:t>
      </w:r>
    </w:p>
    <w:p>
      <w:pPr>
        <w:pStyle w:val="Normal"/>
        <w:jc w:val="center"/>
        <w:rPr>
          <w:rFonts w:ascii="Arial" w:hAnsi="Arial" w:cs="Arial"/>
          <w:color w:val="242424"/>
          <w:sz w:val="20"/>
          <w:szCs w:val="20"/>
        </w:rPr>
      </w:pPr>
      <w:r>
        <w:rPr>
          <w:b/>
          <w:bCs/>
          <w:color w:val="242424"/>
        </w:rPr>
        <w:t>Отчет</w:t>
      </w:r>
    </w:p>
    <w:p>
      <w:pPr>
        <w:pStyle w:val="Normal"/>
        <w:spacing w:lineRule="atLeast" w:line="240"/>
        <w:jc w:val="center"/>
        <w:rPr>
          <w:rFonts w:ascii="Arial" w:hAnsi="Arial" w:cs="Arial"/>
          <w:color w:val="242424"/>
          <w:sz w:val="20"/>
          <w:szCs w:val="20"/>
        </w:rPr>
      </w:pPr>
      <w:r>
        <w:rPr>
          <w:b/>
          <w:bCs/>
          <w:color w:val="242424"/>
        </w:rPr>
        <w:t>о выполнении Прогнозного плана (программы) приватизации муниципального имущества за 2022 год</w:t>
      </w:r>
    </w:p>
    <w:p>
      <w:pPr>
        <w:pStyle w:val="Normal"/>
        <w:ind w:firstLine="709"/>
        <w:jc w:val="both"/>
        <w:rPr>
          <w:rFonts w:ascii="Arial" w:hAnsi="Arial" w:cs="Arial"/>
          <w:color w:val="242424"/>
          <w:sz w:val="20"/>
          <w:szCs w:val="20"/>
        </w:rPr>
      </w:pPr>
      <w:r>
        <w:rPr>
          <w:color w:val="242424"/>
        </w:rPr>
        <w:t> </w:t>
      </w:r>
    </w:p>
    <w:p>
      <w:pPr>
        <w:pStyle w:val="Normal"/>
        <w:ind w:firstLine="709"/>
        <w:jc w:val="both"/>
        <w:rPr>
          <w:rFonts w:ascii="Arial" w:hAnsi="Arial" w:cs="Arial"/>
          <w:color w:val="242424"/>
          <w:sz w:val="20"/>
          <w:szCs w:val="20"/>
        </w:rPr>
      </w:pPr>
      <w:r>
        <w:rPr>
          <w:color w:val="242424"/>
        </w:rPr>
        <w:t>Настоящий отчет о выполнении Прогнозного плана (программы) приватизации муниципального имущества на 2022 год (далее по тексту - Отчет) представлен в соответствии с постановлением Правительства Российской Федерации от 26 декабря 2005 года № 806 «Об утверждении Правил разработки прогнозных планов (программ) приватизации государственного и муниципального имущества и внесении изменений</w:t>
        <w:br/>
        <w:t>в Правила подготовки и принятия решений об условиях приватизации федерального имущества», главой 6 Положения о приватизации муниципального имущества города Лермонтова, утвержденного решением Совета города Лермонтова от 30 июля 2014 года № 53.</w:t>
      </w:r>
    </w:p>
    <w:p>
      <w:pPr>
        <w:pStyle w:val="Normal"/>
        <w:ind w:firstLine="708"/>
        <w:jc w:val="both"/>
        <w:rPr>
          <w:rFonts w:ascii="Arial" w:hAnsi="Arial" w:cs="Arial"/>
          <w:color w:val="242424"/>
          <w:sz w:val="20"/>
          <w:szCs w:val="20"/>
        </w:rPr>
      </w:pPr>
      <w:r>
        <w:rPr>
          <w:color w:val="242424"/>
        </w:rPr>
        <w:t>Прогнозный план (программа) приватизации муниципального имущества на 2022 год, утвержденный решением Совета города Лермонтова от 30 ноября 2021 года № 68, включал в себя один объект продажи – гараж № 545А в гаражном потребительском кооперативе «Победа». В связи с необходимостью использования объекта для муниципальных нужд, решением Совета города Лермонтова от 29 марта 2022 года № 8 в раздел I Прогнозного плана</w:t>
      </w:r>
      <w:r>
        <w:rPr>
          <w:color w:val="FF0000"/>
        </w:rPr>
        <w:t> </w:t>
      </w:r>
      <w:r>
        <w:rPr>
          <w:color w:val="242424"/>
        </w:rPr>
        <w:t>(программы) приватизации муниципального имущества города Лермонтова на 2022 год были внесены изменения, которые предусматривали исключение из Прогнозного плана (программы) приватизации муниципального имущества на 2022 год объект продажи – гараж № 545А в гаражном потребительском кооперативе «Победа» и добавление двух нежилых помещений: нежилое помещение по проезду Химиков, 13 и подвальное помещение по улице Гагарина, 11 - Ленина, 10.</w:t>
      </w:r>
    </w:p>
    <w:p>
      <w:pPr>
        <w:pStyle w:val="Normal"/>
        <w:ind w:firstLine="708"/>
        <w:jc w:val="both"/>
        <w:rPr>
          <w:rFonts w:ascii="Arial" w:hAnsi="Arial" w:cs="Arial"/>
          <w:color w:val="242424"/>
          <w:sz w:val="20"/>
          <w:szCs w:val="20"/>
        </w:rPr>
      </w:pPr>
      <w:r>
        <w:rPr>
          <w:color w:val="242424"/>
        </w:rPr>
        <w:t>В целях приватизации муниципального имущества, включенного</w:t>
        <w:br/>
        <w:t>в Прогнозный план (программу) приватизации на 2022 год. Управлением имущественных отношений администрации города Лермонтова в отчетном периоде осуществлялись работы по подготовке всех необходимых документов для проведения торгов (аукционов), а также в установленном законом порядке размещались объявления о проведении торгов (аукционов) на сайте государственной информационной системы «Официальный сайт Российской Федерации в информационно-телекоммуникационной сети «Интернет» «ТОРГИ ГИС» (ранее -torgi.gov.ru), на официальном портале органов местного самоуправления города Лермонтова в информационно-телекоммуникационной сети «Интернет», а также в еженедельной региональной общественно-политической газете города Лермонтова «Лермонтовские известия».</w:t>
      </w:r>
    </w:p>
    <w:p>
      <w:pPr>
        <w:pStyle w:val="Normal"/>
        <w:ind w:firstLine="709"/>
        <w:jc w:val="both"/>
        <w:rPr>
          <w:rFonts w:ascii="Arial" w:hAnsi="Arial" w:cs="Arial"/>
          <w:color w:val="242424"/>
          <w:sz w:val="20"/>
          <w:szCs w:val="20"/>
        </w:rPr>
      </w:pPr>
      <w:r>
        <w:rPr>
          <w:color w:val="242424"/>
        </w:rPr>
        <w:t>В соответствии с разделом 2 Прогнозного плана (программы)</w:t>
        <w:br/>
        <w:t>в 2022 году прогноз объемов поступлений в местный бюджет доходов</w:t>
        <w:br/>
        <w:t>от продажи муниципального имущества составлял 1 108 730,00 рублей.</w:t>
        <w:br/>
        <w:t>По итогам реализации Прогнозного плана (программы) в 2022 году состоялась продажа муниципального имущества на аукционе в количестве</w:t>
        <w:br/>
        <w:t>2 (двух) объектов муниципальной собственности</w:t>
      </w:r>
      <w:r>
        <w:rPr>
          <w:color w:val="242424"/>
          <w:spacing w:val="-1"/>
        </w:rPr>
        <w:t>: </w:t>
      </w:r>
      <w:r>
        <w:rPr>
          <w:color w:val="242424"/>
        </w:rPr>
        <w:t>нежилого помещения общей площадью 104,8 кв.м, с кадастровым номером 26:32:030202:179, расположенного в цокольном этаже по адресу: Ставропольский край, город Лермонтов, проезд Химиков, д.13, (помещения 1-14) и нежилого помещения общей площадью 12,8 кв.м, с кадастровым номером</w:t>
      </w:r>
      <w:r>
        <w:rPr>
          <w:color w:val="242424"/>
        </w:rPr>
        <w:t>  </w:t>
      </w:r>
      <w:r>
        <w:rPr>
          <w:color w:val="242424"/>
        </w:rPr>
        <w:t>26:32:000000:1069, расположенного в подвале жилого дома по адресу: Ставропольский край, город Лермонтов,</w:t>
      </w:r>
      <w:r>
        <w:rPr>
          <w:color w:val="242424"/>
        </w:rPr>
        <w:t>  </w:t>
      </w:r>
      <w:r>
        <w:rPr>
          <w:color w:val="242424"/>
        </w:rPr>
        <w:t>улица Гагарина, 11 - Ленина, 10.</w:t>
      </w:r>
    </w:p>
    <w:p>
      <w:pPr>
        <w:pStyle w:val="Normal"/>
        <w:ind w:firstLine="708"/>
        <w:jc w:val="both"/>
        <w:rPr>
          <w:rFonts w:ascii="Arial" w:hAnsi="Arial" w:cs="Arial"/>
          <w:color w:val="242424"/>
          <w:sz w:val="20"/>
          <w:szCs w:val="20"/>
        </w:rPr>
      </w:pPr>
      <w:r>
        <w:rPr>
          <w:color w:val="242424"/>
        </w:rPr>
        <w:t>Таким образом, исполнение Прогнозного плана (программы) в отчетном периоде составило: по количеству объектов, включенных в него – 100 процентов, по объему поступлений в доход местного бюджета от приватизации муниципального имущества на общую сумму 1 542 450, 00 рублей с учётом НДС, что составляет – 139,1 </w:t>
      </w:r>
      <w:r>
        <w:rPr>
          <w:color w:val="242424"/>
        </w:rPr>
        <w:t> </w:t>
      </w:r>
      <w:r>
        <w:rPr>
          <w:color w:val="242424"/>
        </w:rPr>
        <w:t>процента к запланированному показателю.</w:t>
      </w:r>
    </w:p>
    <w:p>
      <w:pPr>
        <w:pStyle w:val="Normal"/>
        <w:ind w:firstLine="708"/>
        <w:jc w:val="both"/>
        <w:rPr>
          <w:rFonts w:ascii="Arial" w:hAnsi="Arial" w:cs="Arial"/>
          <w:color w:val="242424"/>
          <w:sz w:val="20"/>
          <w:szCs w:val="20"/>
        </w:rPr>
      </w:pPr>
      <w:r>
        <w:rPr>
          <w:color w:val="242424"/>
        </w:rPr>
        <w:t>Информация о приватизации объектов муниципальной собственности, включенных в Прогнозный план (программу), за прошедший год представлена в приложении к настоящему Отчету по форме согласно Приложению № 1 к Правилам разработки прогнозных планов (программ) приватизации государственного и  муниципального имущества, утвержденных постановлением Правительства Российской Федерации от 26 декабря </w:t>
      </w:r>
      <w:r>
        <w:rPr>
          <w:color w:val="242424"/>
        </w:rPr>
        <w:t> </w:t>
      </w:r>
      <w:r>
        <w:rPr>
          <w:color w:val="242424"/>
        </w:rPr>
        <w:t>2005 года № 806 «Об утверждении Правил разработки прогнозных планов (программ) приватизации государственного и муниципального имущества </w:t>
      </w:r>
      <w:r>
        <w:rPr>
          <w:color w:val="242424"/>
        </w:rPr>
        <w:t> </w:t>
      </w:r>
      <w:r>
        <w:rPr>
          <w:color w:val="242424"/>
        </w:rPr>
        <w:t>и внесении изменений в Правила подготовки и принятия решений об условиях приватизации федерального имущества».</w:t>
      </w:r>
      <w:r>
        <w:rPr>
          <w:color w:val="242424"/>
        </w:rPr>
        <w:t> </w:t>
      </w:r>
    </w:p>
    <w:p>
      <w:pPr>
        <w:pStyle w:val="Normal"/>
        <w:ind w:firstLine="708"/>
        <w:jc w:val="right"/>
        <w:rPr>
          <w:rFonts w:ascii="Arial" w:hAnsi="Arial" w:cs="Arial"/>
          <w:color w:val="242424"/>
          <w:sz w:val="20"/>
          <w:szCs w:val="20"/>
        </w:rPr>
      </w:pPr>
      <w:r>
        <w:rPr>
          <w:color w:val="242424"/>
        </w:rPr>
        <w:t> </w:t>
      </w:r>
      <w:r>
        <w:rPr>
          <w:color w:val="242424"/>
        </w:rPr>
        <w:t> </w:t>
      </w:r>
    </w:p>
    <w:p>
      <w:pPr>
        <w:pStyle w:val="Normal"/>
        <w:shd w:val="clear" w:color="auto" w:fill="FFFFFF"/>
        <w:ind w:firstLine="708"/>
        <w:jc w:val="right"/>
        <w:rPr>
          <w:rFonts w:ascii="Arial" w:hAnsi="Arial" w:cs="Arial"/>
          <w:color w:val="242424"/>
          <w:sz w:val="20"/>
          <w:szCs w:val="20"/>
        </w:rPr>
      </w:pPr>
      <w:r>
        <w:rPr>
          <w:color w:val="242424"/>
        </w:rPr>
        <w:t> </w:t>
      </w:r>
    </w:p>
    <w:p>
      <w:pPr>
        <w:pStyle w:val="Normal"/>
        <w:shd w:val="clear" w:color="auto" w:fill="FFFFFF"/>
        <w:ind w:firstLine="708"/>
        <w:jc w:val="right"/>
        <w:rPr>
          <w:rFonts w:ascii="Arial" w:hAnsi="Arial" w:cs="Arial"/>
          <w:color w:val="242424"/>
          <w:sz w:val="20"/>
          <w:szCs w:val="20"/>
        </w:rPr>
      </w:pPr>
      <w:r>
        <w:rPr>
          <w:color w:val="242424"/>
        </w:rPr>
        <w:t>Приложение</w:t>
      </w:r>
    </w:p>
    <w:p>
      <w:pPr>
        <w:pStyle w:val="Normal"/>
        <w:shd w:val="clear" w:color="auto" w:fill="FFFFFF"/>
        <w:ind w:firstLine="708"/>
        <w:jc w:val="right"/>
        <w:rPr>
          <w:rFonts w:ascii="Arial" w:hAnsi="Arial" w:cs="Arial"/>
          <w:color w:val="242424"/>
          <w:sz w:val="20"/>
          <w:szCs w:val="20"/>
        </w:rPr>
      </w:pPr>
      <w:r>
        <w:rPr>
          <w:color w:val="242424"/>
        </w:rPr>
        <w:t>к Отчету о выполнении</w:t>
      </w:r>
    </w:p>
    <w:p>
      <w:pPr>
        <w:pStyle w:val="Normal"/>
        <w:shd w:val="clear" w:color="auto" w:fill="FFFFFF"/>
        <w:ind w:firstLine="708"/>
        <w:jc w:val="right"/>
        <w:rPr>
          <w:rFonts w:ascii="Arial" w:hAnsi="Arial" w:cs="Arial"/>
          <w:color w:val="242424"/>
          <w:sz w:val="20"/>
          <w:szCs w:val="20"/>
        </w:rPr>
      </w:pPr>
      <w:r>
        <w:rPr>
          <w:color w:val="242424"/>
        </w:rPr>
        <w:t>Прогнозного плана (программы) приватизации</w:t>
      </w:r>
    </w:p>
    <w:p>
      <w:pPr>
        <w:pStyle w:val="Normal"/>
        <w:shd w:val="clear" w:color="auto" w:fill="FFFFFF"/>
        <w:ind w:firstLine="708"/>
        <w:jc w:val="right"/>
        <w:rPr>
          <w:rFonts w:ascii="Arial" w:hAnsi="Arial" w:cs="Arial"/>
          <w:color w:val="242424"/>
          <w:sz w:val="20"/>
          <w:szCs w:val="20"/>
        </w:rPr>
      </w:pPr>
      <w:r>
        <w:rPr>
          <w:color w:val="242424"/>
        </w:rPr>
        <w:t>муниципального имущества на 2022 год</w:t>
      </w:r>
    </w:p>
    <w:p>
      <w:pPr>
        <w:pStyle w:val="Normal"/>
        <w:shd w:val="clear" w:color="auto" w:fill="FFFFFF"/>
        <w:ind w:firstLine="708"/>
        <w:jc w:val="both"/>
        <w:rPr>
          <w:rFonts w:ascii="Arial" w:hAnsi="Arial" w:cs="Arial"/>
          <w:color w:val="242424"/>
          <w:sz w:val="20"/>
          <w:szCs w:val="20"/>
        </w:rPr>
      </w:pPr>
      <w:r>
        <w:rPr>
          <w:color w:val="242424"/>
        </w:rPr>
        <w:t> </w:t>
      </w:r>
    </w:p>
    <w:p>
      <w:pPr>
        <w:pStyle w:val="Normal"/>
        <w:shd w:val="clear" w:color="auto" w:fill="FFFFFF"/>
        <w:ind w:firstLine="708"/>
        <w:jc w:val="center"/>
        <w:rPr>
          <w:rFonts w:ascii="Arial" w:hAnsi="Arial" w:cs="Arial"/>
          <w:color w:val="242424"/>
          <w:sz w:val="20"/>
          <w:szCs w:val="20"/>
        </w:rPr>
      </w:pPr>
      <w:r>
        <w:rPr>
          <w:b/>
          <w:bCs/>
          <w:color w:val="242424"/>
        </w:rPr>
        <w:t>Информация</w:t>
        <w:br/>
        <w:t>о приватизации объектов муниципальной собственности,</w:t>
        <w:br/>
        <w:t>включенных в Прогнозный план (программу) приватизации</w:t>
      </w:r>
      <w:r>
        <w:rPr>
          <w:color w:val="242424"/>
        </w:rPr>
        <w:t> </w:t>
      </w:r>
      <w:r>
        <w:rPr>
          <w:b/>
          <w:bCs/>
          <w:color w:val="242424"/>
        </w:rPr>
        <w:t>муниципального имущества на 2022 год</w:t>
      </w:r>
    </w:p>
    <w:p>
      <w:pPr>
        <w:pStyle w:val="Normal"/>
        <w:shd w:val="clear" w:color="auto" w:fill="FFFFFF"/>
        <w:ind w:firstLine="708"/>
        <w:jc w:val="both"/>
        <w:rPr>
          <w:rFonts w:ascii="Arial" w:hAnsi="Arial" w:cs="Arial"/>
          <w:color w:val="242424"/>
          <w:sz w:val="20"/>
          <w:szCs w:val="20"/>
        </w:rPr>
      </w:pPr>
      <w:r>
        <w:rPr>
          <w:color w:val="242424"/>
        </w:rPr>
        <w:t> </w:t>
      </w:r>
    </w:p>
    <w:tbl>
      <w:tblPr>
        <w:tblW w:w="13470" w:type="dxa"/>
        <w:jc w:val="left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700"/>
        <w:gridCol w:w="3609"/>
        <w:gridCol w:w="2120"/>
        <w:gridCol w:w="1689"/>
        <w:gridCol w:w="1689"/>
        <w:gridCol w:w="1828"/>
        <w:gridCol w:w="1834"/>
      </w:tblGrid>
      <w:tr>
        <w:trPr/>
        <w:tc>
          <w:tcPr>
            <w:tcW w:w="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 xml:space="preserve">№ </w:t>
            </w:r>
            <w:r>
              <w:rPr>
                <w:color w:val="242424"/>
                <w:sz w:val="20"/>
                <w:szCs w:val="20"/>
              </w:rPr>
              <w:t>п/п</w:t>
            </w:r>
          </w:p>
        </w:tc>
        <w:tc>
          <w:tcPr>
            <w:tcW w:w="36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ind w:left="72" w:hanging="72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Наименование</w:t>
            </w:r>
          </w:p>
        </w:tc>
        <w:tc>
          <w:tcPr>
            <w:tcW w:w="21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Адрес месторасположения</w:t>
            </w:r>
          </w:p>
        </w:tc>
        <w:tc>
          <w:tcPr>
            <w:tcW w:w="1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Рыночная стоимость согласно оценке по отчету независимого оценщика в</w:t>
            </w:r>
            <w:r>
              <w:rPr>
                <w:color w:val="242424"/>
                <w:sz w:val="20"/>
                <w:szCs w:val="20"/>
              </w:rPr>
              <w:t>  </w:t>
            </w:r>
            <w:r>
              <w:rPr>
                <w:color w:val="242424"/>
                <w:sz w:val="20"/>
                <w:szCs w:val="20"/>
              </w:rPr>
              <w:t>руб. с учетом НДС</w:t>
            </w:r>
          </w:p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 </w:t>
            </w:r>
          </w:p>
        </w:tc>
        <w:tc>
          <w:tcPr>
            <w:tcW w:w="16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Способ приватизации</w:t>
            </w:r>
          </w:p>
        </w:tc>
        <w:tc>
          <w:tcPr>
            <w:tcW w:w="18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Фактическая дата проведения мероприятия, предусмотренного способом приватизации</w:t>
            </w:r>
          </w:p>
        </w:tc>
        <w:tc>
          <w:tcPr>
            <w:tcW w:w="18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Итоговая цена, за которую продан объект</w:t>
            </w:r>
            <w:r>
              <w:rPr>
                <w:color w:val="242424"/>
                <w:sz w:val="20"/>
                <w:szCs w:val="20"/>
              </w:rPr>
              <w:t>                </w:t>
            </w:r>
            <w:r>
              <w:rPr>
                <w:color w:val="242424"/>
                <w:sz w:val="20"/>
                <w:szCs w:val="20"/>
              </w:rPr>
              <w:t>в руб.</w:t>
            </w:r>
            <w:r>
              <w:rPr>
                <w:color w:val="242424"/>
                <w:sz w:val="20"/>
                <w:szCs w:val="20"/>
              </w:rPr>
              <w:t>                   </w:t>
            </w:r>
            <w:r>
              <w:rPr>
                <w:color w:val="242424"/>
                <w:sz w:val="20"/>
                <w:szCs w:val="20"/>
              </w:rPr>
              <w:t>с учетом НДС</w:t>
            </w:r>
          </w:p>
        </w:tc>
      </w:tr>
      <w:tr>
        <w:trPr/>
        <w:tc>
          <w:tcPr>
            <w:tcW w:w="7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2FAFE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1.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shd w:color="auto" w:fill="F2FAFE" w:val="clear"/>
          </w:tcPr>
          <w:p>
            <w:pPr>
              <w:pStyle w:val="Normal"/>
              <w:widowControl w:val="false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Наименование: Подсобное помещение;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Вид: Помещение;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Кадастровый номер: 26:32:030202:179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Назначение: Нежилое помещение;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Площадь: 104,8 кв.м,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Этаж: Цокольный;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Вид разрешенного использования: Нежилое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Объект недвижимости расположен</w:t>
            </w:r>
          </w:p>
          <w:p>
            <w:pPr>
              <w:pStyle w:val="Normal"/>
              <w:widowControl w:val="false"/>
              <w:spacing w:before="0" w:after="160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в многоквартирном доме, помещения 1-14</w:t>
            </w:r>
          </w:p>
        </w:tc>
        <w:tc>
          <w:tcPr>
            <w:tcW w:w="2120" w:type="dxa"/>
            <w:tcBorders>
              <w:bottom w:val="single" w:sz="8" w:space="0" w:color="000000"/>
              <w:right w:val="single" w:sz="8" w:space="0" w:color="000000"/>
            </w:tcBorders>
            <w:shd w:color="auto" w:fill="F2FAFE" w:val="clear"/>
          </w:tcPr>
          <w:p>
            <w:pPr>
              <w:pStyle w:val="Normal"/>
              <w:widowControl w:val="false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Ставропольский край, город Лермонтов,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Проезд Химиков,</w:t>
            </w:r>
          </w:p>
          <w:p>
            <w:pPr>
              <w:pStyle w:val="Normal"/>
              <w:widowControl w:val="false"/>
              <w:spacing w:before="0" w:after="160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д. № 13</w:t>
            </w:r>
          </w:p>
        </w:tc>
        <w:tc>
          <w:tcPr>
            <w:tcW w:w="1689" w:type="dxa"/>
            <w:tcBorders>
              <w:bottom w:val="single" w:sz="8" w:space="0" w:color="000000"/>
              <w:right w:val="single" w:sz="8" w:space="0" w:color="000000"/>
            </w:tcBorders>
            <w:shd w:color="auto" w:fill="F2FAFE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1 079 730,00</w:t>
            </w:r>
          </w:p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 </w:t>
            </w:r>
          </w:p>
        </w:tc>
        <w:tc>
          <w:tcPr>
            <w:tcW w:w="1689" w:type="dxa"/>
            <w:tcBorders>
              <w:bottom w:val="single" w:sz="8" w:space="0" w:color="000000"/>
              <w:right w:val="single" w:sz="8" w:space="0" w:color="000000"/>
            </w:tcBorders>
            <w:shd w:color="auto" w:fill="F2FAFE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Продажа муниципаль-ного имущества на аукционе</w:t>
            </w:r>
          </w:p>
        </w:tc>
        <w:tc>
          <w:tcPr>
            <w:tcW w:w="1828" w:type="dxa"/>
            <w:tcBorders>
              <w:bottom w:val="single" w:sz="8" w:space="0" w:color="000000"/>
              <w:right w:val="single" w:sz="8" w:space="0" w:color="000000"/>
            </w:tcBorders>
            <w:shd w:color="auto" w:fill="F2FAFE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20.07.2022</w:t>
            </w:r>
          </w:p>
        </w:tc>
        <w:tc>
          <w:tcPr>
            <w:tcW w:w="1834" w:type="dxa"/>
            <w:tcBorders>
              <w:bottom w:val="single" w:sz="8" w:space="0" w:color="000000"/>
              <w:right w:val="single" w:sz="8" w:space="0" w:color="000000"/>
            </w:tcBorders>
            <w:shd w:color="auto" w:fill="F2FAFE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1 512 000</w:t>
            </w:r>
          </w:p>
        </w:tc>
      </w:tr>
      <w:tr>
        <w:trPr/>
        <w:tc>
          <w:tcPr>
            <w:tcW w:w="7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2.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Наименование: Встроенное помещение;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Вид: Здание;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Кадастровый номер: 26:32:000000:1069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Назначение: Нежилое здание;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Площадь: 12,8 кв.м;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Инвентарный номер 466, Литер А;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Этаж: Подвальный;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Вид разрешенного использования: данные отсутствуют;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Объект недвижимости расположен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в многоквартирном доме</w:t>
            </w:r>
          </w:p>
          <w:p>
            <w:pPr>
              <w:pStyle w:val="Normal"/>
              <w:widowControl w:val="false"/>
              <w:spacing w:before="0" w:after="160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 </w:t>
            </w:r>
          </w:p>
        </w:tc>
        <w:tc>
          <w:tcPr>
            <w:tcW w:w="212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Ставропольский край, город Лермонтов,</w:t>
            </w:r>
          </w:p>
          <w:p>
            <w:pPr>
              <w:pStyle w:val="Normal"/>
              <w:widowControl w:val="false"/>
              <w:spacing w:before="0" w:after="160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улица Гагарина, 11 – Ленина, 10</w:t>
            </w:r>
          </w:p>
        </w:tc>
        <w:tc>
          <w:tcPr>
            <w:tcW w:w="168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29 000,00</w:t>
            </w:r>
          </w:p>
        </w:tc>
        <w:tc>
          <w:tcPr>
            <w:tcW w:w="168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Продажа муниципаль-ного имущества на аукционе</w:t>
            </w:r>
          </w:p>
        </w:tc>
        <w:tc>
          <w:tcPr>
            <w:tcW w:w="182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20.07.2022</w:t>
            </w:r>
          </w:p>
        </w:tc>
        <w:tc>
          <w:tcPr>
            <w:tcW w:w="18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30 450</w:t>
            </w:r>
          </w:p>
        </w:tc>
      </w:tr>
      <w:tr>
        <w:trPr/>
        <w:tc>
          <w:tcPr>
            <w:tcW w:w="7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2FAFE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 </w:t>
            </w:r>
          </w:p>
        </w:tc>
        <w:tc>
          <w:tcPr>
            <w:tcW w:w="3609" w:type="dxa"/>
            <w:tcBorders>
              <w:bottom w:val="single" w:sz="8" w:space="0" w:color="000000"/>
              <w:right w:val="single" w:sz="8" w:space="0" w:color="000000"/>
            </w:tcBorders>
            <w:shd w:color="auto" w:fill="F2FAFE" w:val="clear"/>
          </w:tcPr>
          <w:p>
            <w:pPr>
              <w:pStyle w:val="Normal"/>
              <w:widowControl w:val="false"/>
              <w:spacing w:before="0" w:after="160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 </w:t>
            </w:r>
          </w:p>
        </w:tc>
        <w:tc>
          <w:tcPr>
            <w:tcW w:w="2120" w:type="dxa"/>
            <w:tcBorders>
              <w:bottom w:val="single" w:sz="8" w:space="0" w:color="000000"/>
              <w:right w:val="single" w:sz="8" w:space="0" w:color="000000"/>
            </w:tcBorders>
            <w:shd w:color="auto" w:fill="F2FAFE" w:val="clear"/>
          </w:tcPr>
          <w:p>
            <w:pPr>
              <w:pStyle w:val="Normal"/>
              <w:widowControl w:val="false"/>
              <w:spacing w:before="0" w:after="160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 </w:t>
            </w:r>
          </w:p>
        </w:tc>
        <w:tc>
          <w:tcPr>
            <w:tcW w:w="1689" w:type="dxa"/>
            <w:tcBorders>
              <w:bottom w:val="single" w:sz="8" w:space="0" w:color="000000"/>
              <w:right w:val="single" w:sz="8" w:space="0" w:color="000000"/>
            </w:tcBorders>
            <w:shd w:color="auto" w:fill="F2FAFE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 </w:t>
            </w:r>
          </w:p>
        </w:tc>
        <w:tc>
          <w:tcPr>
            <w:tcW w:w="1689" w:type="dxa"/>
            <w:tcBorders>
              <w:bottom w:val="single" w:sz="8" w:space="0" w:color="000000"/>
              <w:right w:val="single" w:sz="8" w:space="0" w:color="000000"/>
            </w:tcBorders>
            <w:shd w:color="auto" w:fill="F2FAFE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 </w:t>
            </w:r>
          </w:p>
        </w:tc>
        <w:tc>
          <w:tcPr>
            <w:tcW w:w="1828" w:type="dxa"/>
            <w:tcBorders>
              <w:bottom w:val="single" w:sz="8" w:space="0" w:color="000000"/>
              <w:right w:val="single" w:sz="8" w:space="0" w:color="000000"/>
            </w:tcBorders>
            <w:shd w:color="auto" w:fill="F2FAFE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 </w:t>
            </w:r>
          </w:p>
        </w:tc>
        <w:tc>
          <w:tcPr>
            <w:tcW w:w="1834" w:type="dxa"/>
            <w:tcBorders>
              <w:bottom w:val="single" w:sz="8" w:space="0" w:color="000000"/>
              <w:right w:val="single" w:sz="8" w:space="0" w:color="000000"/>
            </w:tcBorders>
            <w:shd w:color="auto" w:fill="F2FAFE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 </w:t>
            </w:r>
          </w:p>
        </w:tc>
      </w:tr>
      <w:tr>
        <w:trPr>
          <w:trHeight w:val="443" w:hRule="atLeast"/>
        </w:trPr>
        <w:tc>
          <w:tcPr>
            <w:tcW w:w="7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 </w:t>
            </w:r>
          </w:p>
        </w:tc>
        <w:tc>
          <w:tcPr>
            <w:tcW w:w="5729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ИТОГО:</w:t>
            </w:r>
          </w:p>
        </w:tc>
        <w:tc>
          <w:tcPr>
            <w:tcW w:w="168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1 108 730</w:t>
            </w:r>
          </w:p>
        </w:tc>
        <w:tc>
          <w:tcPr>
            <w:tcW w:w="1689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 </w:t>
            </w:r>
          </w:p>
        </w:tc>
        <w:tc>
          <w:tcPr>
            <w:tcW w:w="1828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 </w:t>
            </w:r>
          </w:p>
        </w:tc>
        <w:tc>
          <w:tcPr>
            <w:tcW w:w="1834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Arial" w:hAnsi="Arial" w:cs="Arial"/>
                <w:color w:val="242424"/>
                <w:sz w:val="20"/>
                <w:szCs w:val="20"/>
              </w:rPr>
            </w:pPr>
            <w:r>
              <w:rPr>
                <w:color w:val="242424"/>
                <w:sz w:val="20"/>
                <w:szCs w:val="20"/>
              </w:rPr>
              <w:t>1 542 450</w:t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  <w:bookmarkStart w:id="0" w:name="_GoBack"/>
      <w:bookmarkStart w:id="1" w:name="_GoBack"/>
      <w:bookmarkEnd w:id="1"/>
    </w:p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Times New Roman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Georgia">
    <w:charset w:val="01"/>
    <w:family w:val="roman"/>
    <w:pitch w:val="default"/>
  </w:font>
  <w:font w:name="Arial"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0"/>
    <w:uiPriority w:val="9"/>
    <w:qFormat/>
    <w:rsid w:val="002c5b86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2">
    <w:name w:val="Heading 2"/>
    <w:basedOn w:val="Normal"/>
    <w:link w:val="20"/>
    <w:uiPriority w:val="9"/>
    <w:qFormat/>
    <w:rsid w:val="008c6cad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Normal"/>
    <w:link w:val="30"/>
    <w:uiPriority w:val="9"/>
    <w:qFormat/>
    <w:rsid w:val="00c85139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Normal"/>
    <w:link w:val="40"/>
    <w:uiPriority w:val="9"/>
    <w:qFormat/>
    <w:rsid w:val="00540c02"/>
    <w:pPr>
      <w:spacing w:lineRule="auto" w:line="240" w:beforeAutospacing="1" w:afterAutospacing="1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18578f"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1" w:customStyle="1">
    <w:name w:val="Заголовок 3 Знак"/>
    <w:basedOn w:val="DefaultParagraphFont"/>
    <w:link w:val="3"/>
    <w:uiPriority w:val="9"/>
    <w:qFormat/>
    <w:rsid w:val="00c8513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styleId="Style9">
    <w:name w:val="Интернет-ссылка"/>
    <w:basedOn w:val="DefaultParagraphFont"/>
    <w:uiPriority w:val="99"/>
    <w:semiHidden/>
    <w:unhideWhenUsed/>
    <w:rsid w:val="00281b84"/>
    <w:rPr>
      <w:color w:val="0000FF"/>
      <w:u w:val="single"/>
    </w:rPr>
  </w:style>
  <w:style w:type="character" w:styleId="Style10">
    <w:name w:val="Посещённая гиперссылка"/>
    <w:basedOn w:val="DefaultParagraphFont"/>
    <w:uiPriority w:val="99"/>
    <w:semiHidden/>
    <w:unhideWhenUsed/>
    <w:rsid w:val="00294af2"/>
    <w:rPr>
      <w:color w:val="800080"/>
      <w:u w:val="single"/>
    </w:rPr>
  </w:style>
  <w:style w:type="character" w:styleId="Exact" w:customStyle="1">
    <w:name w:val="exact"/>
    <w:basedOn w:val="DefaultParagraphFont"/>
    <w:qFormat/>
    <w:rsid w:val="00294af2"/>
    <w:rPr/>
  </w:style>
  <w:style w:type="character" w:styleId="3exact" w:customStyle="1">
    <w:name w:val="3exact"/>
    <w:basedOn w:val="DefaultParagraphFont"/>
    <w:qFormat/>
    <w:rsid w:val="00294af2"/>
    <w:rPr/>
  </w:style>
  <w:style w:type="character" w:styleId="Style11" w:customStyle="1">
    <w:name w:val="Подзаголовок Знак"/>
    <w:basedOn w:val="DefaultParagraphFont"/>
    <w:link w:val="a7"/>
    <w:uiPriority w:val="11"/>
    <w:qFormat/>
    <w:rsid w:val="0098790c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Newsdatetime" w:customStyle="1">
    <w:name w:val="news-date-time"/>
    <w:basedOn w:val="DefaultParagraphFont"/>
    <w:qFormat/>
    <w:rsid w:val="00c716f6"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2c5b86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32" w:customStyle="1">
    <w:name w:val="Основной текст 3 Знак"/>
    <w:basedOn w:val="DefaultParagraphFont"/>
    <w:link w:val="32"/>
    <w:uiPriority w:val="99"/>
    <w:semiHidden/>
    <w:qFormat/>
    <w:rsid w:val="002c5b86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2" w:customStyle="1">
    <w:name w:val="Основной текст с отступом Знак"/>
    <w:basedOn w:val="DefaultParagraphFont"/>
    <w:link w:val="aa"/>
    <w:uiPriority w:val="99"/>
    <w:semiHidden/>
    <w:qFormat/>
    <w:rsid w:val="002c5b86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2c5b86"/>
    <w:rPr/>
  </w:style>
  <w:style w:type="character" w:styleId="Style13" w:customStyle="1">
    <w:name w:val="Текст сноски Знак"/>
    <w:basedOn w:val="DefaultParagraphFont"/>
    <w:link w:val="ae"/>
    <w:uiPriority w:val="99"/>
    <w:semiHidden/>
    <w:qFormat/>
    <w:rsid w:val="002c5b86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1" w:customStyle="1">
    <w:name w:val="Основной текст с отступом 2 Знак"/>
    <w:basedOn w:val="DefaultParagraphFont"/>
    <w:link w:val="22"/>
    <w:uiPriority w:val="99"/>
    <w:semiHidden/>
    <w:qFormat/>
    <w:rsid w:val="005315e7"/>
    <w:rPr/>
  </w:style>
  <w:style w:type="character" w:styleId="A6" w:customStyle="1">
    <w:name w:val="a6"/>
    <w:basedOn w:val="DefaultParagraphFont"/>
    <w:qFormat/>
    <w:rsid w:val="005315e7"/>
    <w:rPr/>
  </w:style>
  <w:style w:type="character" w:styleId="Style14" w:customStyle="1">
    <w:name w:val="Основной текст Знак"/>
    <w:basedOn w:val="DefaultParagraphFont"/>
    <w:link w:val="af0"/>
    <w:uiPriority w:val="99"/>
    <w:semiHidden/>
    <w:qFormat/>
    <w:rsid w:val="00a66cbe"/>
    <w:rPr/>
  </w:style>
  <w:style w:type="character" w:styleId="22" w:customStyle="1">
    <w:name w:val="Основной текст 2 Знак"/>
    <w:basedOn w:val="DefaultParagraphFont"/>
    <w:link w:val="24"/>
    <w:uiPriority w:val="99"/>
    <w:semiHidden/>
    <w:qFormat/>
    <w:rsid w:val="005e0b13"/>
    <w:rPr/>
  </w:style>
  <w:style w:type="character" w:styleId="41" w:customStyle="1">
    <w:name w:val="Заголовок 4 Знак"/>
    <w:basedOn w:val="DefaultParagraphFont"/>
    <w:link w:val="4"/>
    <w:uiPriority w:val="9"/>
    <w:qFormat/>
    <w:rsid w:val="00540c02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5" w:customStyle="1">
    <w:name w:val="Заголовок Знак"/>
    <w:basedOn w:val="DefaultParagraphFont"/>
    <w:link w:val="af2"/>
    <w:uiPriority w:val="10"/>
    <w:qFormat/>
    <w:rsid w:val="006e7b0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18578f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fc6b9f"/>
    <w:rPr>
      <w:b/>
      <w:bCs/>
    </w:rPr>
  </w:style>
  <w:style w:type="character" w:styleId="Style16">
    <w:name w:val="Выделение"/>
    <w:basedOn w:val="DefaultParagraphFont"/>
    <w:uiPriority w:val="20"/>
    <w:qFormat/>
    <w:rsid w:val="00fc6b9f"/>
    <w:rPr>
      <w:i/>
      <w:iCs/>
    </w:rPr>
  </w:style>
  <w:style w:type="character" w:styleId="23" w:customStyle="1">
    <w:name w:val="Заголовок 2 Знак"/>
    <w:basedOn w:val="DefaultParagraphFont"/>
    <w:link w:val="2"/>
    <w:uiPriority w:val="9"/>
    <w:qFormat/>
    <w:rsid w:val="008c6cad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Hl41" w:customStyle="1">
    <w:name w:val="hl41"/>
    <w:basedOn w:val="DefaultParagraphFont"/>
    <w:qFormat/>
    <w:rsid w:val="008c6cad"/>
    <w:rPr/>
  </w:style>
  <w:style w:type="character" w:styleId="HTML" w:customStyle="1">
    <w:name w:val="Стандартный HTML Знак"/>
    <w:basedOn w:val="DefaultParagraphFont"/>
    <w:link w:val="HTML"/>
    <w:uiPriority w:val="99"/>
    <w:semiHidden/>
    <w:qFormat/>
    <w:rsid w:val="008c6cad"/>
    <w:rPr>
      <w:rFonts w:ascii="Courier New" w:hAnsi="Courier New" w:eastAsia="Times New Roman" w:cs="Courier New"/>
      <w:sz w:val="20"/>
      <w:szCs w:val="20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link w:val="af1"/>
    <w:uiPriority w:val="99"/>
    <w:semiHidden/>
    <w:unhideWhenUsed/>
    <w:rsid w:val="00a66cbe"/>
    <w:pPr>
      <w:spacing w:before="0" w:after="12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Msonormal" w:customStyle="1">
    <w:name w:val="msonormal"/>
    <w:basedOn w:val="Normal"/>
    <w:qFormat/>
    <w:rsid w:val="00294af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4" w:customStyle="1">
    <w:name w:val="2"/>
    <w:basedOn w:val="Normal"/>
    <w:qFormat/>
    <w:rsid w:val="00294af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unhideWhenUsed/>
    <w:qFormat/>
    <w:rsid w:val="00294af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0" w:customStyle="1">
    <w:name w:val="30"/>
    <w:basedOn w:val="Normal"/>
    <w:qFormat/>
    <w:rsid w:val="00294af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rmal" w:customStyle="1">
    <w:name w:val="consplusnormal"/>
    <w:basedOn w:val="Normal"/>
    <w:qFormat/>
    <w:rsid w:val="009b12a7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2">
    <w:name w:val="Subtitle"/>
    <w:basedOn w:val="Normal"/>
    <w:link w:val="a8"/>
    <w:uiPriority w:val="11"/>
    <w:qFormat/>
    <w:rsid w:val="0098790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normal" w:customStyle="1">
    <w:name w:val="consnormal"/>
    <w:basedOn w:val="Normal"/>
    <w:qFormat/>
    <w:rsid w:val="0086799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nonformat" w:customStyle="1">
    <w:name w:val="consnonformat"/>
    <w:basedOn w:val="Normal"/>
    <w:qFormat/>
    <w:rsid w:val="0086799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" w:customStyle="1">
    <w:name w:val="10"/>
    <w:basedOn w:val="Normal"/>
    <w:qFormat/>
    <w:rsid w:val="002c5b8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3" w:customStyle="1">
    <w:name w:val="3"/>
    <w:basedOn w:val="Normal"/>
    <w:qFormat/>
    <w:rsid w:val="002c5b8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11" w:customStyle="1">
    <w:name w:val="31"/>
    <w:basedOn w:val="Normal"/>
    <w:qFormat/>
    <w:rsid w:val="002c5b8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Spacing">
    <w:name w:val="No Spacing"/>
    <w:basedOn w:val="Normal"/>
    <w:uiPriority w:val="1"/>
    <w:qFormat/>
    <w:rsid w:val="002c5b8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Bullet">
    <w:name w:val="List Bullet"/>
    <w:basedOn w:val="Normal"/>
    <w:uiPriority w:val="99"/>
    <w:semiHidden/>
    <w:unhideWhenUsed/>
    <w:qFormat/>
    <w:rsid w:val="002c5b86"/>
    <w:pPr>
      <w:numPr>
        <w:ilvl w:val="0"/>
        <w:numId w:val="1"/>
      </w:numPr>
      <w:tabs>
        <w:tab w:val="clear" w:pos="708"/>
      </w:tabs>
      <w:spacing w:lineRule="auto" w:line="240" w:beforeAutospacing="1" w:afterAutospacing="1"/>
      <w:ind w:left="0" w:hanging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3">
    <w:name w:val="Body Text 3"/>
    <w:basedOn w:val="Normal"/>
    <w:link w:val="33"/>
    <w:uiPriority w:val="99"/>
    <w:semiHidden/>
    <w:unhideWhenUsed/>
    <w:qFormat/>
    <w:rsid w:val="002c5b8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3">
    <w:name w:val="Body Text Indent"/>
    <w:basedOn w:val="Normal"/>
    <w:link w:val="ab"/>
    <w:uiPriority w:val="99"/>
    <w:semiHidden/>
    <w:unhideWhenUsed/>
    <w:rsid w:val="002c5b8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2c5b8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nformat" w:customStyle="1">
    <w:name w:val="consplusnonformat"/>
    <w:basedOn w:val="Normal"/>
    <w:qFormat/>
    <w:rsid w:val="002c5b8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4">
    <w:name w:val="Footnote Text"/>
    <w:basedOn w:val="Normal"/>
    <w:link w:val="af"/>
    <w:uiPriority w:val="99"/>
    <w:semiHidden/>
    <w:unhideWhenUsed/>
    <w:rsid w:val="002c5b8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3"/>
    <w:uiPriority w:val="99"/>
    <w:semiHidden/>
    <w:unhideWhenUsed/>
    <w:qFormat/>
    <w:rsid w:val="005315e7"/>
    <w:pPr>
      <w:spacing w:lineRule="auto" w:line="480" w:before="0" w:after="120"/>
      <w:ind w:left="283" w:hanging="0"/>
    </w:pPr>
    <w:rPr/>
  </w:style>
  <w:style w:type="paragraph" w:styleId="BodyText2">
    <w:name w:val="Body Text 2"/>
    <w:basedOn w:val="Normal"/>
    <w:link w:val="25"/>
    <w:uiPriority w:val="99"/>
    <w:semiHidden/>
    <w:unhideWhenUsed/>
    <w:qFormat/>
    <w:rsid w:val="005e0b13"/>
    <w:pPr>
      <w:spacing w:lineRule="auto" w:line="480" w:before="0" w:after="120"/>
    </w:pPr>
    <w:rPr/>
  </w:style>
  <w:style w:type="paragraph" w:styleId="Style25">
    <w:name w:val="Title"/>
    <w:basedOn w:val="Normal"/>
    <w:link w:val="af3"/>
    <w:uiPriority w:val="10"/>
    <w:qFormat/>
    <w:rsid w:val="006e7b0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Default" w:customStyle="1">
    <w:name w:val="default"/>
    <w:basedOn w:val="Normal"/>
    <w:qFormat/>
    <w:rsid w:val="00fc6b9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cell" w:customStyle="1">
    <w:name w:val="conspluscell"/>
    <w:basedOn w:val="Normal"/>
    <w:qFormat/>
    <w:rsid w:val="00fc6b9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8" w:customStyle="1">
    <w:name w:val="a8"/>
    <w:basedOn w:val="Normal"/>
    <w:qFormat/>
    <w:rsid w:val="008c6ca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title" w:customStyle="1">
    <w:name w:val="constitle"/>
    <w:basedOn w:val="Normal"/>
    <w:qFormat/>
    <w:rsid w:val="008c6ca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anx" w:customStyle="1">
    <w:name w:val="normalanx"/>
    <w:basedOn w:val="Normal"/>
    <w:qFormat/>
    <w:rsid w:val="008c6ca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HTMLPreformatted">
    <w:name w:val="HTML Preformatted"/>
    <w:basedOn w:val="Normal"/>
    <w:link w:val="HTML0"/>
    <w:uiPriority w:val="99"/>
    <w:semiHidden/>
    <w:unhideWhenUsed/>
    <w:qFormat/>
    <w:rsid w:val="008c6cad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Consplusnonformat0" w:customStyle="1">
    <w:name w:val="consplusnonformat0"/>
    <w:basedOn w:val="Normal"/>
    <w:qFormat/>
    <w:rsid w:val="008c6ca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 w:customStyle="1">
    <w:name w:val="a7"/>
    <w:basedOn w:val="Normal"/>
    <w:qFormat/>
    <w:rsid w:val="008c6ca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10" w:customStyle="1">
    <w:name w:val="210"/>
    <w:basedOn w:val="Normal"/>
    <w:qFormat/>
    <w:rsid w:val="00c2707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4" w:customStyle="1">
    <w:name w:val="a4"/>
    <w:basedOn w:val="Normal"/>
    <w:qFormat/>
    <w:rsid w:val="00c2707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Application>LibreOffice/7.2.7.2$Linux_X86_64 LibreOffice_project/20$Build-2</Application>
  <AppVersion>15.0000</AppVersion>
  <Pages>4</Pages>
  <Words>707</Words>
  <Characters>4953</Characters>
  <CharactersWithSpaces>5665</CharactersWithSpaces>
  <Paragraphs>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2023-08-28T14:28:00Z</dcterms:created>
  <dc:creator>Пользователь</dc:creator>
  <dc:description/>
  <dc:language>ru-RU</dc:language>
  <cp:lastModifiedBy>Пользователь</cp:lastModifiedBy>
  <dcterms:modified xsi:type="dcterms:W3CDTF">2023-09-04T08:07:00Z</dcterms:modified>
  <cp:revision>557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